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927CF" w:rsidRDefault="00A927CF">
      <w:pPr>
        <w:pStyle w:val="Title"/>
        <w:keepNext w:val="0"/>
        <w:keepLines w:val="0"/>
        <w:spacing w:after="0" w:line="240" w:lineRule="auto"/>
        <w:jc w:val="both"/>
        <w:rPr>
          <w:rFonts w:ascii="Roboto" w:eastAsia="Roboto" w:hAnsi="Roboto" w:cs="Roboto"/>
          <w:b/>
          <w:smallCaps/>
          <w:color w:val="44546A"/>
          <w:sz w:val="40"/>
          <w:szCs w:val="40"/>
        </w:rPr>
      </w:pPr>
    </w:p>
    <w:p w14:paraId="00000002" w14:textId="77777777" w:rsidR="00A927CF" w:rsidRDefault="007979A4">
      <w:pPr>
        <w:pStyle w:val="Title"/>
        <w:keepNext w:val="0"/>
        <w:keepLines w:val="0"/>
        <w:spacing w:after="0" w:line="240" w:lineRule="auto"/>
        <w:jc w:val="both"/>
        <w:rPr>
          <w:rFonts w:ascii="Roboto" w:eastAsia="Roboto" w:hAnsi="Roboto" w:cs="Roboto"/>
          <w:b/>
          <w:smallCaps/>
          <w:color w:val="44546A"/>
          <w:sz w:val="36"/>
          <w:szCs w:val="36"/>
        </w:rPr>
      </w:pPr>
      <w:r>
        <w:rPr>
          <w:rFonts w:ascii="Roboto" w:eastAsia="Roboto" w:hAnsi="Roboto" w:cs="Roboto"/>
          <w:b/>
          <w:smallCaps/>
          <w:color w:val="44546A"/>
          <w:sz w:val="36"/>
          <w:szCs w:val="36"/>
        </w:rPr>
        <w:t>Quick Reference Guide</w:t>
      </w:r>
    </w:p>
    <w:p w14:paraId="00000003" w14:textId="77777777" w:rsidR="00A927CF" w:rsidRDefault="00A927CF">
      <w:pPr>
        <w:pStyle w:val="Title"/>
        <w:keepNext w:val="0"/>
        <w:keepLines w:val="0"/>
        <w:spacing w:after="0" w:line="240" w:lineRule="auto"/>
        <w:jc w:val="both"/>
        <w:rPr>
          <w:rFonts w:ascii="Roboto" w:eastAsia="Roboto" w:hAnsi="Roboto" w:cs="Roboto"/>
          <w:b/>
          <w:smallCaps/>
          <w:color w:val="44546A"/>
          <w:sz w:val="28"/>
          <w:szCs w:val="28"/>
        </w:rPr>
      </w:pPr>
    </w:p>
    <w:p w14:paraId="00000004" w14:textId="77777777" w:rsidR="00A927CF" w:rsidRDefault="007979A4">
      <w:pPr>
        <w:pStyle w:val="Title"/>
        <w:keepNext w:val="0"/>
        <w:keepLines w:val="0"/>
        <w:spacing w:after="0" w:line="240" w:lineRule="auto"/>
        <w:jc w:val="both"/>
        <w:rPr>
          <w:rFonts w:ascii="Roboto" w:eastAsia="Roboto" w:hAnsi="Roboto" w:cs="Roboto"/>
          <w:smallCaps/>
          <w:color w:val="44546A"/>
          <w:sz w:val="24"/>
          <w:szCs w:val="24"/>
        </w:rPr>
      </w:pPr>
      <w:r>
        <w:rPr>
          <w:rFonts w:ascii="Roboto" w:eastAsia="Roboto" w:hAnsi="Roboto" w:cs="Roboto"/>
          <w:smallCaps/>
          <w:color w:val="44546A"/>
          <w:sz w:val="24"/>
          <w:szCs w:val="24"/>
        </w:rPr>
        <w:t xml:space="preserve">Quick Reference Guide for nurses and other healthcare professionals to assist in correct placement of the Aspisafe Solutions NG Guard. </w:t>
      </w:r>
    </w:p>
    <w:p w14:paraId="00000005" w14:textId="77777777" w:rsidR="00A927CF" w:rsidRDefault="00A927CF">
      <w:pPr>
        <w:pStyle w:val="Title"/>
        <w:keepNext w:val="0"/>
        <w:keepLines w:val="0"/>
        <w:spacing w:after="0" w:line="240" w:lineRule="auto"/>
        <w:jc w:val="both"/>
        <w:rPr>
          <w:rFonts w:ascii="Roboto" w:eastAsia="Roboto" w:hAnsi="Roboto" w:cs="Roboto"/>
          <w:smallCaps/>
          <w:color w:val="44546A"/>
          <w:sz w:val="24"/>
          <w:szCs w:val="24"/>
        </w:rPr>
      </w:pPr>
    </w:p>
    <w:p w14:paraId="00000006" w14:textId="77777777" w:rsidR="00A927CF" w:rsidRDefault="007979A4">
      <w:pPr>
        <w:pStyle w:val="Title"/>
        <w:keepNext w:val="0"/>
        <w:keepLines w:val="0"/>
        <w:spacing w:after="0" w:line="240" w:lineRule="auto"/>
        <w:jc w:val="both"/>
        <w:rPr>
          <w:rFonts w:ascii="Roboto" w:eastAsia="Roboto" w:hAnsi="Roboto" w:cs="Roboto"/>
          <w:smallCaps/>
          <w:color w:val="44546A"/>
          <w:sz w:val="22"/>
          <w:szCs w:val="22"/>
        </w:rPr>
      </w:pPr>
      <w:r>
        <w:rPr>
          <w:rFonts w:ascii="Roboto" w:eastAsia="Roboto" w:hAnsi="Roboto" w:cs="Roboto"/>
          <w:smallCaps/>
          <w:color w:val="44546A"/>
          <w:sz w:val="22"/>
          <w:szCs w:val="22"/>
        </w:rPr>
        <w:t>The Aspisafe NG Guard works on Nasogastric and feeding tubes from a size 12Fr-18fr</w:t>
      </w:r>
    </w:p>
    <w:p w14:paraId="00000007" w14:textId="77777777" w:rsidR="00A927CF" w:rsidRDefault="007979A4">
      <w:pPr>
        <w:pStyle w:val="Heading1"/>
        <w:spacing w:before="300" w:line="259" w:lineRule="auto"/>
        <w:jc w:val="both"/>
        <w:rPr>
          <w:rFonts w:ascii="Roboto" w:eastAsia="Roboto" w:hAnsi="Roboto" w:cs="Roboto"/>
          <w:color w:val="4472C4"/>
          <w:sz w:val="52"/>
          <w:szCs w:val="52"/>
        </w:rPr>
      </w:pPr>
      <w:r>
        <w:rPr>
          <w:rFonts w:ascii="Roboto" w:eastAsia="Roboto" w:hAnsi="Roboto" w:cs="Roboto"/>
          <w:color w:val="4472C4"/>
          <w:sz w:val="52"/>
          <w:szCs w:val="52"/>
        </w:rPr>
        <w:t>Step 1</w:t>
      </w:r>
    </w:p>
    <w:p w14:paraId="00000008" w14:textId="5A7D71C0" w:rsidR="00A927CF" w:rsidRDefault="00214613">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xml:space="preserve">Place the Bracket on the patient’s upper lip and secure the head strap around the patient’s head. </w:t>
      </w:r>
    </w:p>
    <w:p w14:paraId="00000009" w14:textId="77777777" w:rsidR="00A927CF" w:rsidRDefault="007979A4">
      <w:pPr>
        <w:pStyle w:val="Heading1"/>
        <w:spacing w:before="300" w:line="259" w:lineRule="auto"/>
        <w:jc w:val="both"/>
        <w:rPr>
          <w:rFonts w:ascii="Roboto" w:eastAsia="Roboto" w:hAnsi="Roboto" w:cs="Roboto"/>
          <w:color w:val="4472C4"/>
          <w:sz w:val="52"/>
          <w:szCs w:val="52"/>
        </w:rPr>
      </w:pPr>
      <w:r>
        <w:rPr>
          <w:rFonts w:ascii="Roboto" w:eastAsia="Roboto" w:hAnsi="Roboto" w:cs="Roboto"/>
          <w:color w:val="4472C4"/>
          <w:sz w:val="52"/>
          <w:szCs w:val="52"/>
        </w:rPr>
        <w:t>Step 2</w:t>
      </w:r>
    </w:p>
    <w:p w14:paraId="0000000A" w14:textId="144138FB"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xml:space="preserve">Slide NG Lock under the nares where the feeding tube is </w:t>
      </w:r>
      <w:r w:rsidR="00214613">
        <w:rPr>
          <w:rFonts w:ascii="Roboto" w:eastAsia="Roboto" w:hAnsi="Roboto" w:cs="Roboto"/>
          <w:i/>
          <w:color w:val="44546A"/>
          <w:sz w:val="24"/>
          <w:szCs w:val="24"/>
        </w:rPr>
        <w:t>exposed</w:t>
      </w:r>
      <w:r>
        <w:rPr>
          <w:rFonts w:ascii="Roboto" w:eastAsia="Roboto" w:hAnsi="Roboto" w:cs="Roboto"/>
          <w:i/>
          <w:color w:val="44546A"/>
          <w:sz w:val="24"/>
          <w:szCs w:val="24"/>
        </w:rPr>
        <w:t xml:space="preserve"> and tuck the feeding tube into the NG Lock</w:t>
      </w:r>
      <w:r w:rsidR="00214613">
        <w:rPr>
          <w:rFonts w:ascii="Roboto" w:eastAsia="Roboto" w:hAnsi="Roboto" w:cs="Roboto"/>
          <w:i/>
          <w:color w:val="44546A"/>
          <w:sz w:val="24"/>
          <w:szCs w:val="24"/>
        </w:rPr>
        <w:t xml:space="preserve">. </w:t>
      </w:r>
      <w:r>
        <w:rPr>
          <w:rFonts w:ascii="Roboto" w:eastAsia="Roboto" w:hAnsi="Roboto" w:cs="Roboto"/>
          <w:i/>
          <w:color w:val="44546A"/>
          <w:sz w:val="24"/>
          <w:szCs w:val="24"/>
        </w:rPr>
        <w:t xml:space="preserve">  </w:t>
      </w:r>
    </w:p>
    <w:p w14:paraId="0000000B" w14:textId="77777777" w:rsidR="00A927CF" w:rsidRDefault="007979A4">
      <w:pPr>
        <w:pStyle w:val="Heading1"/>
        <w:spacing w:before="300" w:line="259" w:lineRule="auto"/>
        <w:jc w:val="both"/>
        <w:rPr>
          <w:rFonts w:ascii="Roboto" w:eastAsia="Roboto" w:hAnsi="Roboto" w:cs="Roboto"/>
          <w:color w:val="4472C4"/>
          <w:sz w:val="52"/>
          <w:szCs w:val="52"/>
        </w:rPr>
      </w:pPr>
      <w:r>
        <w:rPr>
          <w:rFonts w:ascii="Roboto" w:eastAsia="Roboto" w:hAnsi="Roboto" w:cs="Roboto"/>
          <w:color w:val="4472C4"/>
          <w:sz w:val="52"/>
          <w:szCs w:val="52"/>
        </w:rPr>
        <w:t>Step 3</w:t>
      </w:r>
    </w:p>
    <w:p w14:paraId="0000000C" w14:textId="25D953C0"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xml:space="preserve">Tighten the lock with the cable tie until securement. Adjust for securement and patient comfort.  </w:t>
      </w:r>
    </w:p>
    <w:p w14:paraId="0000000D" w14:textId="77777777" w:rsidR="00A927CF" w:rsidRDefault="00A927CF">
      <w:pPr>
        <w:spacing w:after="120" w:line="259" w:lineRule="auto"/>
        <w:jc w:val="both"/>
        <w:rPr>
          <w:rFonts w:ascii="Roboto" w:eastAsia="Roboto" w:hAnsi="Roboto" w:cs="Roboto"/>
          <w:i/>
          <w:color w:val="44546A"/>
          <w:sz w:val="24"/>
          <w:szCs w:val="24"/>
        </w:rPr>
      </w:pPr>
      <w:bookmarkStart w:id="0" w:name="_heading=h.gjdgxs" w:colFirst="0" w:colLast="0"/>
      <w:bookmarkEnd w:id="0"/>
    </w:p>
    <w:p w14:paraId="0000000E" w14:textId="77777777" w:rsidR="00A927CF" w:rsidRDefault="007979A4">
      <w:pPr>
        <w:pStyle w:val="Heading1"/>
        <w:spacing w:before="300" w:line="259" w:lineRule="auto"/>
        <w:jc w:val="both"/>
        <w:rPr>
          <w:rFonts w:ascii="Roboto" w:eastAsia="Roboto" w:hAnsi="Roboto" w:cs="Roboto"/>
          <w:color w:val="4472C4"/>
        </w:rPr>
      </w:pPr>
      <w:r>
        <w:rPr>
          <w:rFonts w:ascii="Roboto" w:eastAsia="Roboto" w:hAnsi="Roboto" w:cs="Roboto"/>
          <w:color w:val="4472C4"/>
        </w:rPr>
        <w:t>Quick Tips</w:t>
      </w:r>
    </w:p>
    <w:p w14:paraId="0000000F" w14:textId="77777777"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Detaching only one side of the head strap during placement will help with the ease of securing the device.</w:t>
      </w:r>
    </w:p>
    <w:p w14:paraId="00000010" w14:textId="77777777"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xml:space="preserve">• This device can hold any nasogastric or </w:t>
      </w:r>
      <w:proofErr w:type="spellStart"/>
      <w:r>
        <w:rPr>
          <w:rFonts w:ascii="Roboto" w:eastAsia="Roboto" w:hAnsi="Roboto" w:cs="Roboto"/>
          <w:i/>
          <w:color w:val="44546A"/>
          <w:sz w:val="24"/>
          <w:szCs w:val="24"/>
        </w:rPr>
        <w:t>nasoenteric</w:t>
      </w:r>
      <w:proofErr w:type="spellEnd"/>
      <w:r>
        <w:rPr>
          <w:rFonts w:ascii="Roboto" w:eastAsia="Roboto" w:hAnsi="Roboto" w:cs="Roboto"/>
          <w:i/>
          <w:color w:val="44546A"/>
          <w:sz w:val="24"/>
          <w:szCs w:val="24"/>
        </w:rPr>
        <w:t xml:space="preserve"> tube sizes 12-18Fr. </w:t>
      </w:r>
    </w:p>
    <w:p w14:paraId="00000011" w14:textId="77777777"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xml:space="preserve">• If using to secure an orogastric tube, place the NG Guard on the head strap so that the NG locking device and hinge is facing downward, proximal to the orogastric tube. </w:t>
      </w:r>
    </w:p>
    <w:p w14:paraId="00000012" w14:textId="77777777"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xml:space="preserve">• The NG locking device is meant to be a permanent solution for securement for the life of the tube. Do not lock ratchet strap until placement of tube has been confirmed.  </w:t>
      </w:r>
    </w:p>
    <w:p w14:paraId="00000013" w14:textId="77777777"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xml:space="preserve">• When using a smaller French tube, the ratchet strap may be trimmed after securement of the tube. </w:t>
      </w:r>
    </w:p>
    <w:p w14:paraId="00000014" w14:textId="77777777" w:rsidR="00A927CF" w:rsidRDefault="00A927CF">
      <w:pPr>
        <w:spacing w:after="120" w:line="259" w:lineRule="auto"/>
        <w:jc w:val="both"/>
        <w:rPr>
          <w:rFonts w:ascii="Roboto" w:eastAsia="Roboto" w:hAnsi="Roboto" w:cs="Roboto"/>
          <w:i/>
          <w:color w:val="44546A"/>
          <w:sz w:val="24"/>
          <w:szCs w:val="24"/>
        </w:rPr>
      </w:pPr>
    </w:p>
    <w:p w14:paraId="00000015" w14:textId="77777777" w:rsidR="00A927CF" w:rsidRDefault="007979A4">
      <w:pPr>
        <w:pStyle w:val="Heading1"/>
        <w:spacing w:before="300" w:line="259" w:lineRule="auto"/>
        <w:jc w:val="both"/>
        <w:rPr>
          <w:rFonts w:ascii="Roboto" w:eastAsia="Roboto" w:hAnsi="Roboto" w:cs="Roboto"/>
          <w:color w:val="4472C4"/>
        </w:rPr>
      </w:pPr>
      <w:r>
        <w:rPr>
          <w:rFonts w:ascii="Roboto" w:eastAsia="Roboto" w:hAnsi="Roboto" w:cs="Roboto"/>
          <w:color w:val="4472C4"/>
        </w:rPr>
        <w:t>Precautions</w:t>
      </w:r>
    </w:p>
    <w:p w14:paraId="00000016" w14:textId="77777777"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xml:space="preserve">• The Aspisafe Solutions NG Guard was created for adult patients.   </w:t>
      </w:r>
    </w:p>
    <w:p w14:paraId="00000017" w14:textId="77777777"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This securement device is meant to be used after confirming placement of NG tube, DO NOT lock tube in place until placement has been confirmed.</w:t>
      </w:r>
    </w:p>
    <w:p w14:paraId="00000018" w14:textId="77777777"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Use with caution in patients with facial trauma, facial swelling, dental appliances, and missing front teeth (missing front teeth may not have the maxillary support to keep the tube in place).</w:t>
      </w:r>
    </w:p>
    <w:p w14:paraId="00000019" w14:textId="77777777"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Inspect the patient’s skin under the ergonomic foam every 2 hours, maintain the skin below by keeping it clean and dry.</w:t>
      </w:r>
    </w:p>
    <w:p w14:paraId="0000001A" w14:textId="77777777"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If skin irritation occurs, discontinue produc</w:t>
      </w:r>
      <w:r>
        <w:rPr>
          <w:rFonts w:ascii="Roboto" w:eastAsia="Roboto" w:hAnsi="Roboto" w:cs="Roboto"/>
          <w:i/>
          <w:color w:val="FF0000"/>
          <w:sz w:val="24"/>
          <w:szCs w:val="24"/>
        </w:rPr>
        <w:t>t use</w:t>
      </w:r>
      <w:r>
        <w:rPr>
          <w:rFonts w:ascii="Roboto" w:eastAsia="Roboto" w:hAnsi="Roboto" w:cs="Roboto"/>
          <w:i/>
          <w:color w:val="44546A"/>
          <w:sz w:val="24"/>
          <w:szCs w:val="24"/>
        </w:rPr>
        <w:t>.</w:t>
      </w:r>
    </w:p>
    <w:p w14:paraId="0000001B" w14:textId="77777777" w:rsidR="00A927CF" w:rsidRDefault="007979A4">
      <w:pPr>
        <w:spacing w:after="120" w:line="259" w:lineRule="auto"/>
        <w:jc w:val="both"/>
        <w:rPr>
          <w:rFonts w:ascii="Roboto" w:eastAsia="Roboto" w:hAnsi="Roboto" w:cs="Roboto"/>
          <w:i/>
          <w:color w:val="44546A"/>
          <w:sz w:val="24"/>
          <w:szCs w:val="24"/>
        </w:rPr>
      </w:pPr>
      <w:r>
        <w:rPr>
          <w:rFonts w:ascii="Roboto" w:eastAsia="Roboto" w:hAnsi="Roboto" w:cs="Roboto"/>
          <w:i/>
          <w:color w:val="44546A"/>
          <w:sz w:val="24"/>
          <w:szCs w:val="24"/>
        </w:rPr>
        <w:t>• This product was created for single use. Each NG Guard should be discontinued with the life of each tube it is used on.</w:t>
      </w:r>
    </w:p>
    <w:p w14:paraId="0000001C" w14:textId="77777777" w:rsidR="00A927CF" w:rsidRDefault="00A927CF">
      <w:pPr>
        <w:pStyle w:val="Heading1"/>
        <w:spacing w:before="300" w:line="259" w:lineRule="auto"/>
        <w:jc w:val="both"/>
        <w:rPr>
          <w:rFonts w:ascii="Roboto" w:eastAsia="Roboto" w:hAnsi="Roboto" w:cs="Roboto"/>
          <w:color w:val="4472C4"/>
          <w:sz w:val="52"/>
          <w:szCs w:val="52"/>
        </w:rPr>
      </w:pPr>
    </w:p>
    <w:p w14:paraId="0000001D" w14:textId="77777777" w:rsidR="00A927CF" w:rsidRDefault="007979A4">
      <w:pPr>
        <w:pStyle w:val="Heading1"/>
        <w:spacing w:before="300" w:line="259" w:lineRule="auto"/>
        <w:jc w:val="both"/>
        <w:rPr>
          <w:rFonts w:ascii="Roboto" w:eastAsia="Roboto" w:hAnsi="Roboto" w:cs="Roboto"/>
          <w:color w:val="4472C4"/>
          <w:sz w:val="52"/>
          <w:szCs w:val="52"/>
        </w:rPr>
      </w:pPr>
      <w:r>
        <w:rPr>
          <w:rFonts w:ascii="Roboto" w:eastAsia="Roboto" w:hAnsi="Roboto" w:cs="Roboto"/>
          <w:color w:val="4472C4"/>
          <w:sz w:val="52"/>
          <w:szCs w:val="52"/>
        </w:rPr>
        <w:t>Demonstration</w:t>
      </w:r>
    </w:p>
    <w:p w14:paraId="0000001E" w14:textId="77777777" w:rsidR="00A927CF" w:rsidRDefault="007979A4">
      <w:pPr>
        <w:spacing w:after="120" w:line="259" w:lineRule="auto"/>
        <w:jc w:val="both"/>
        <w:rPr>
          <w:rFonts w:ascii="Roboto" w:eastAsia="Roboto" w:hAnsi="Roboto" w:cs="Roboto"/>
          <w:color w:val="44546A"/>
          <w:sz w:val="24"/>
          <w:szCs w:val="24"/>
        </w:rPr>
      </w:pPr>
      <w:r>
        <w:rPr>
          <w:rFonts w:ascii="Roboto" w:eastAsia="Roboto" w:hAnsi="Roboto" w:cs="Roboto"/>
          <w:color w:val="44546A"/>
          <w:sz w:val="24"/>
          <w:szCs w:val="24"/>
        </w:rPr>
        <w:t xml:space="preserve">For a quick video demonstration visit </w:t>
      </w:r>
      <w:hyperlink r:id="rId7">
        <w:r>
          <w:rPr>
            <w:rFonts w:ascii="Roboto" w:eastAsia="Roboto" w:hAnsi="Roboto" w:cs="Roboto"/>
            <w:color w:val="1155CC"/>
            <w:sz w:val="24"/>
            <w:szCs w:val="24"/>
            <w:u w:val="single"/>
          </w:rPr>
          <w:t>www.aspisafesolutions.com</w:t>
        </w:r>
      </w:hyperlink>
      <w:r>
        <w:rPr>
          <w:rFonts w:ascii="Roboto" w:eastAsia="Roboto" w:hAnsi="Roboto" w:cs="Roboto"/>
          <w:color w:val="44546A"/>
          <w:sz w:val="24"/>
          <w:szCs w:val="24"/>
        </w:rPr>
        <w:t xml:space="preserve"> or email clinical@aspisafesolutions.com</w:t>
      </w:r>
    </w:p>
    <w:p w14:paraId="0000001F" w14:textId="77777777" w:rsidR="00A927CF" w:rsidRDefault="00A927CF">
      <w:pPr>
        <w:spacing w:after="120" w:line="259" w:lineRule="auto"/>
        <w:jc w:val="both"/>
        <w:rPr>
          <w:rFonts w:ascii="Roboto" w:eastAsia="Roboto" w:hAnsi="Roboto" w:cs="Roboto"/>
          <w:b/>
          <w:i/>
          <w:color w:val="44546A"/>
          <w:sz w:val="24"/>
          <w:szCs w:val="24"/>
        </w:rPr>
      </w:pPr>
    </w:p>
    <w:p w14:paraId="00000020" w14:textId="77777777" w:rsidR="00A927CF" w:rsidRDefault="00A927CF">
      <w:pPr>
        <w:shd w:val="clear" w:color="auto" w:fill="FFFFFF"/>
        <w:jc w:val="both"/>
        <w:rPr>
          <w:rFonts w:ascii="Roboto" w:eastAsia="Roboto" w:hAnsi="Roboto" w:cs="Roboto"/>
          <w:color w:val="003399"/>
        </w:rPr>
      </w:pPr>
    </w:p>
    <w:p w14:paraId="00000021" w14:textId="77777777" w:rsidR="00A927CF" w:rsidRDefault="00A927CF">
      <w:pPr>
        <w:shd w:val="clear" w:color="auto" w:fill="FFFFFF"/>
        <w:jc w:val="both"/>
        <w:rPr>
          <w:rFonts w:ascii="Roboto" w:eastAsia="Roboto" w:hAnsi="Roboto" w:cs="Roboto"/>
          <w:color w:val="003399"/>
        </w:rPr>
      </w:pPr>
    </w:p>
    <w:p w14:paraId="00000022" w14:textId="77777777" w:rsidR="00A927CF" w:rsidRDefault="00A927CF">
      <w:pPr>
        <w:shd w:val="clear" w:color="auto" w:fill="FFFFFF"/>
        <w:jc w:val="both"/>
        <w:rPr>
          <w:rFonts w:ascii="Roboto" w:eastAsia="Roboto" w:hAnsi="Roboto" w:cs="Roboto"/>
          <w:color w:val="003399"/>
        </w:rPr>
      </w:pPr>
    </w:p>
    <w:sectPr w:rsidR="00A927C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09585" w14:textId="77777777" w:rsidR="009D2C11" w:rsidRDefault="009D2C11">
      <w:pPr>
        <w:spacing w:line="240" w:lineRule="auto"/>
      </w:pPr>
      <w:r>
        <w:separator/>
      </w:r>
    </w:p>
  </w:endnote>
  <w:endnote w:type="continuationSeparator" w:id="0">
    <w:p w14:paraId="2DD6C91F" w14:textId="77777777" w:rsidR="009D2C11" w:rsidRDefault="009D2C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9C5C2" w14:textId="659460B1" w:rsidR="00282A4A" w:rsidRDefault="007979A4" w:rsidP="00282A4A">
    <w:pPr>
      <w:pBdr>
        <w:top w:val="nil"/>
        <w:left w:val="nil"/>
        <w:bottom w:val="nil"/>
        <w:right w:val="nil"/>
        <w:between w:val="nil"/>
      </w:pBdr>
      <w:tabs>
        <w:tab w:val="center" w:pos="4680"/>
        <w:tab w:val="right" w:pos="9360"/>
      </w:tabs>
      <w:spacing w:line="240" w:lineRule="auto"/>
      <w:jc w:val="right"/>
      <w:rPr>
        <w:color w:val="000000"/>
        <w:sz w:val="15"/>
        <w:szCs w:val="15"/>
      </w:rPr>
    </w:pPr>
    <w:r>
      <w:rPr>
        <w:color w:val="000000"/>
        <w:sz w:val="15"/>
        <w:szCs w:val="15"/>
      </w:rPr>
      <w:t>MKT-009 REV 1</w:t>
    </w:r>
    <w:r w:rsidR="00282A4A">
      <w:rPr>
        <w:color w:val="000000"/>
        <w:sz w:val="15"/>
        <w:szCs w:val="15"/>
      </w:rPr>
      <w:t>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098B0" w14:textId="77777777" w:rsidR="009D2C11" w:rsidRDefault="009D2C11">
      <w:pPr>
        <w:spacing w:line="240" w:lineRule="auto"/>
      </w:pPr>
      <w:r>
        <w:separator/>
      </w:r>
    </w:p>
  </w:footnote>
  <w:footnote w:type="continuationSeparator" w:id="0">
    <w:p w14:paraId="6A5DBF72" w14:textId="77777777" w:rsidR="009D2C11" w:rsidRDefault="009D2C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3" w14:textId="77777777" w:rsidR="00A927CF" w:rsidRDefault="007979A4">
    <w:r>
      <w:rPr>
        <w:noProof/>
      </w:rPr>
      <w:drawing>
        <wp:inline distT="114300" distB="114300" distL="114300" distR="114300">
          <wp:extent cx="933207" cy="82391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3207" cy="823913"/>
                  </a:xfrm>
                  <a:prstGeom prst="rect">
                    <a:avLst/>
                  </a:prstGeom>
                  <a:ln/>
                </pic:spPr>
              </pic:pic>
            </a:graphicData>
          </a:graphic>
        </wp:inline>
      </w:drawing>
    </w:r>
    <w:r>
      <w:t xml:space="preserve">                                                                                  </w:t>
    </w:r>
    <w:r>
      <w:rPr>
        <w:noProof/>
      </w:rPr>
      <w:drawing>
        <wp:inline distT="114300" distB="114300" distL="114300" distR="114300">
          <wp:extent cx="1628775" cy="1033463"/>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628775" cy="1033463"/>
                  </a:xfrm>
                  <a:prstGeom prst="rect">
                    <a:avLst/>
                  </a:prstGeom>
                  <a:ln/>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7CF"/>
    <w:rsid w:val="00214613"/>
    <w:rsid w:val="00282A4A"/>
    <w:rsid w:val="007979A4"/>
    <w:rsid w:val="007C2A8A"/>
    <w:rsid w:val="009D2C11"/>
    <w:rsid w:val="009E3A23"/>
    <w:rsid w:val="00A927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5F30"/>
  <w15:docId w15:val="{E6A41601-3B4A-499A-882D-70E839FC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93C41"/>
    <w:pPr>
      <w:tabs>
        <w:tab w:val="center" w:pos="4680"/>
        <w:tab w:val="right" w:pos="9360"/>
      </w:tabs>
      <w:spacing w:line="240" w:lineRule="auto"/>
    </w:pPr>
  </w:style>
  <w:style w:type="character" w:customStyle="1" w:styleId="HeaderChar">
    <w:name w:val="Header Char"/>
    <w:basedOn w:val="DefaultParagraphFont"/>
    <w:link w:val="Header"/>
    <w:uiPriority w:val="99"/>
    <w:rsid w:val="00993C41"/>
  </w:style>
  <w:style w:type="paragraph" w:styleId="Footer">
    <w:name w:val="footer"/>
    <w:basedOn w:val="Normal"/>
    <w:link w:val="FooterChar"/>
    <w:uiPriority w:val="99"/>
    <w:unhideWhenUsed/>
    <w:rsid w:val="00993C41"/>
    <w:pPr>
      <w:tabs>
        <w:tab w:val="center" w:pos="4680"/>
        <w:tab w:val="right" w:pos="9360"/>
      </w:tabs>
      <w:spacing w:line="240" w:lineRule="auto"/>
    </w:pPr>
  </w:style>
  <w:style w:type="character" w:customStyle="1" w:styleId="FooterChar">
    <w:name w:val="Footer Char"/>
    <w:basedOn w:val="DefaultParagraphFont"/>
    <w:link w:val="Footer"/>
    <w:uiPriority w:val="99"/>
    <w:rsid w:val="00993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pisafesolu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TtzXaYB1mvuTzoHDGYjbWwujg==">AMUW2mUoRwSeFea0DbzdTcHoP2EFH1Q76f4a3LIv3vImBeI1vMyhP1EeT7XHgR3YQirrz/UX+1t3hyNav3SmVpCGIa+bCeu3NKWJp/STvULb+bPvSuhNl2haOUeLeFVk0nIF66398KH7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Greggs</dc:creator>
  <cp:lastModifiedBy>Khoury, Tala H</cp:lastModifiedBy>
  <cp:revision>2</cp:revision>
  <dcterms:created xsi:type="dcterms:W3CDTF">2021-08-16T14:04:00Z</dcterms:created>
  <dcterms:modified xsi:type="dcterms:W3CDTF">2021-08-16T14:04:00Z</dcterms:modified>
</cp:coreProperties>
</file>